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B28B" w14:textId="77777777" w:rsidR="00D47892" w:rsidRDefault="00D47892" w:rsidP="00D47892">
      <w:pPr>
        <w:pStyle w:val="Titolo6"/>
        <w:ind w:left="0" w:firstLine="0"/>
        <w:rPr>
          <w:i/>
          <w:sz w:val="24"/>
          <w:szCs w:val="24"/>
        </w:rPr>
      </w:pPr>
      <w:r>
        <w:rPr>
          <w:i/>
          <w:sz w:val="24"/>
          <w:szCs w:val="24"/>
        </w:rPr>
        <w:t>RIUNIONE DEL CONSIGLIO DI AMMINISTRAZIONE DEL 31 MARZO 2022</w:t>
      </w:r>
    </w:p>
    <w:p w14:paraId="2F6866B9" w14:textId="77777777" w:rsidR="00D47892" w:rsidRDefault="00D47892" w:rsidP="00D47892"/>
    <w:p w14:paraId="53399415" w14:textId="77777777" w:rsidR="00D47892" w:rsidRDefault="00D47892" w:rsidP="00D47892">
      <w:pPr>
        <w:pStyle w:val="Titolo5"/>
        <w:spacing w:after="120"/>
        <w:rPr>
          <w:i/>
          <w:sz w:val="28"/>
          <w:szCs w:val="28"/>
        </w:rPr>
      </w:pPr>
      <w:r>
        <w:rPr>
          <w:i/>
          <w:sz w:val="28"/>
          <w:szCs w:val="28"/>
        </w:rPr>
        <w:t>Verbale n.  04/2022</w:t>
      </w:r>
    </w:p>
    <w:p w14:paraId="316A081E" w14:textId="77777777" w:rsidR="00D47892" w:rsidRDefault="00D47892" w:rsidP="00D47892">
      <w:pPr>
        <w:pStyle w:val="Paragrafoelenco"/>
        <w:numPr>
          <w:ilvl w:val="0"/>
          <w:numId w:val="1"/>
        </w:numPr>
        <w:spacing w:after="0" w:line="240" w:lineRule="auto"/>
        <w:ind w:left="284" w:hanging="284"/>
        <w:rPr>
          <w:rFonts w:eastAsiaTheme="minorHAnsi"/>
          <w:b/>
          <w:bCs w:val="0"/>
          <w:u w:val="single"/>
          <w:lang w:eastAsia="it-IT"/>
        </w:rPr>
      </w:pPr>
      <w:r w:rsidRPr="002A645D">
        <w:rPr>
          <w:rFonts w:eastAsiaTheme="minorHAnsi"/>
          <w:b/>
          <w:bCs w:val="0"/>
          <w:u w:val="single"/>
          <w:lang w:eastAsia="it-IT"/>
        </w:rPr>
        <w:t>Servizi tecnici di progettazione di fattibilità tecnica ed economica e definitiva, direzione lavori, coordinamento della sicurezza in fase di progettazione e di esecuzione e servizi tecnici connessi relativi all’intervento di “Ampliamento della piattaforma di valorizzazione di Tortona con realizzazione di nuova linea automatizzata di separazione degli imballaggi in plastica acciaio e alluminio”. Indizione procedura di affidamento.</w:t>
      </w:r>
    </w:p>
    <w:p w14:paraId="4BC63E57" w14:textId="77777777" w:rsidR="00D47892" w:rsidRDefault="00D47892" w:rsidP="00D47892">
      <w:pPr>
        <w:rPr>
          <w:b/>
          <w:u w:val="single"/>
        </w:rPr>
      </w:pPr>
    </w:p>
    <w:p w14:paraId="0F526879" w14:textId="77777777" w:rsidR="00D47892" w:rsidRDefault="00D47892" w:rsidP="00D47892">
      <w:pPr>
        <w:spacing w:after="120"/>
        <w:jc w:val="both"/>
        <w:rPr>
          <w:sz w:val="23"/>
          <w:szCs w:val="23"/>
        </w:rPr>
      </w:pPr>
      <w:r w:rsidRPr="00B91125">
        <w:rPr>
          <w:sz w:val="23"/>
          <w:szCs w:val="23"/>
        </w:rPr>
        <w:t>Il Presidente ricorda che, in applicazione del Piano Industriale, approvato all’unanimità dall’Assemblea di SRT in data 20.05.2014 ed al successivo piano degli investimenti, parte integrante del Bilancio di Previsione 20</w:t>
      </w:r>
      <w:r>
        <w:rPr>
          <w:sz w:val="23"/>
          <w:szCs w:val="23"/>
        </w:rPr>
        <w:t>21,</w:t>
      </w:r>
      <w:r w:rsidRPr="00B91125">
        <w:rPr>
          <w:sz w:val="23"/>
          <w:szCs w:val="23"/>
        </w:rPr>
        <w:t xml:space="preserve"> approvato dall’Assemblea dei Soci in data 02/0</w:t>
      </w:r>
      <w:r>
        <w:rPr>
          <w:sz w:val="23"/>
          <w:szCs w:val="23"/>
        </w:rPr>
        <w:t>7</w:t>
      </w:r>
      <w:r w:rsidRPr="00B91125">
        <w:rPr>
          <w:sz w:val="23"/>
          <w:szCs w:val="23"/>
        </w:rPr>
        <w:t>/20</w:t>
      </w:r>
      <w:r>
        <w:rPr>
          <w:sz w:val="23"/>
          <w:szCs w:val="23"/>
        </w:rPr>
        <w:t>21</w:t>
      </w:r>
      <w:r w:rsidRPr="00B91125">
        <w:rPr>
          <w:sz w:val="23"/>
          <w:szCs w:val="23"/>
        </w:rPr>
        <w:t xml:space="preserve">, è necessario provvedere </w:t>
      </w:r>
      <w:r>
        <w:rPr>
          <w:sz w:val="23"/>
          <w:szCs w:val="23"/>
        </w:rPr>
        <w:t>all’a</w:t>
      </w:r>
      <w:r w:rsidRPr="00DF0979">
        <w:rPr>
          <w:sz w:val="23"/>
          <w:szCs w:val="23"/>
        </w:rPr>
        <w:t>mpliamento della piattaforma di valorizzazione di Tortona con realizzazione di nuova linea automatizzata di separazione degli imballaggi in plastica acciaio e alluminio</w:t>
      </w:r>
      <w:r>
        <w:rPr>
          <w:sz w:val="23"/>
          <w:szCs w:val="23"/>
        </w:rPr>
        <w:t>.</w:t>
      </w:r>
    </w:p>
    <w:p w14:paraId="677EADC4" w14:textId="77777777" w:rsidR="00D47892" w:rsidRDefault="00D47892" w:rsidP="00D47892">
      <w:pPr>
        <w:spacing w:after="120"/>
        <w:jc w:val="both"/>
        <w:rPr>
          <w:sz w:val="23"/>
          <w:szCs w:val="23"/>
        </w:rPr>
      </w:pPr>
      <w:r>
        <w:rPr>
          <w:sz w:val="23"/>
          <w:szCs w:val="23"/>
        </w:rPr>
        <w:t>L’ampliamento della piattaforma di Tortona è reso indispensabile ed urgente al fine di incrementare la capacità di trattamento e di stoccaggio dei rifiuti provenienti dalla raccolta differenziata, il cui quantitativo è decisamente aumentato grazie agli ottimi risultati del nuovo sistema di raccolta. Installazione della nuova linea di trattamento della raccolta multimateriale leggera (imballaggi in plastica, acciaio e alluminio) è finalizzata ad automatizzare maggiormente la selezione di tali rifiuti, incrementando la capacità oraria di trattamento e riducendo lo scarto di produzione.</w:t>
      </w:r>
    </w:p>
    <w:p w14:paraId="01DD20CF" w14:textId="77777777" w:rsidR="00D47892" w:rsidRPr="00B91125" w:rsidRDefault="00D47892" w:rsidP="00D47892">
      <w:pPr>
        <w:spacing w:after="120"/>
        <w:jc w:val="both"/>
        <w:rPr>
          <w:sz w:val="23"/>
          <w:szCs w:val="23"/>
        </w:rPr>
      </w:pPr>
      <w:r>
        <w:rPr>
          <w:sz w:val="23"/>
          <w:szCs w:val="23"/>
        </w:rPr>
        <w:t>Egli ricorda inoltre che l’intervento è oggetto di richiesta di finanziamento nell’ambito del PNRR ed ha ricevuto il nulla osta da parte dell’ATO-GRA.</w:t>
      </w:r>
    </w:p>
    <w:p w14:paraId="1B404831" w14:textId="77777777" w:rsidR="00D47892" w:rsidRPr="00B91125" w:rsidRDefault="00D47892" w:rsidP="00D47892">
      <w:pPr>
        <w:spacing w:after="120"/>
        <w:jc w:val="both"/>
        <w:rPr>
          <w:sz w:val="23"/>
          <w:szCs w:val="23"/>
        </w:rPr>
      </w:pPr>
      <w:r w:rsidRPr="00B91125">
        <w:rPr>
          <w:sz w:val="23"/>
          <w:szCs w:val="23"/>
        </w:rPr>
        <w:t>Al riguardo passa la parola al Direttore, Ing. Firpo, per illustrare le modalità tecniche di realizzazione degli interventi e l’iter procedurale previsto dalle norme</w:t>
      </w:r>
      <w:r>
        <w:rPr>
          <w:sz w:val="23"/>
          <w:szCs w:val="23"/>
        </w:rPr>
        <w:t>, precisando che l’appalto non prevede l’affidamento della progettazione esecutiva, poiché essa sarà effettuata dall’aggiudicatario dell’appalto per l’esecuzione delle opere, vista l’elevata componente tecnologica rappresentata in particolare dalla linea di selezione ad elevata automazione.</w:t>
      </w:r>
    </w:p>
    <w:p w14:paraId="0C1E52FA" w14:textId="77777777" w:rsidR="00D47892" w:rsidRPr="00B91125" w:rsidRDefault="00D47892" w:rsidP="00D47892">
      <w:pPr>
        <w:spacing w:after="120"/>
        <w:jc w:val="both"/>
        <w:rPr>
          <w:sz w:val="23"/>
          <w:szCs w:val="23"/>
        </w:rPr>
      </w:pPr>
      <w:r>
        <w:rPr>
          <w:sz w:val="23"/>
          <w:szCs w:val="23"/>
        </w:rPr>
        <w:t>L</w:t>
      </w:r>
      <w:r w:rsidRPr="00B91125">
        <w:rPr>
          <w:sz w:val="23"/>
          <w:szCs w:val="23"/>
        </w:rPr>
        <w:t xml:space="preserve">’importo a base d’asta per l’espletamento dei servizi in oggetto è pari a </w:t>
      </w:r>
      <w:r w:rsidRPr="005063B8">
        <w:rPr>
          <w:sz w:val="23"/>
          <w:szCs w:val="23"/>
        </w:rPr>
        <w:t>€ 428.731,39</w:t>
      </w:r>
      <w:r w:rsidRPr="00B91125">
        <w:rPr>
          <w:sz w:val="23"/>
          <w:szCs w:val="23"/>
        </w:rPr>
        <w:t xml:space="preserve">, per un importo stimato delle opere di </w:t>
      </w:r>
      <w:r w:rsidRPr="005063B8">
        <w:rPr>
          <w:sz w:val="23"/>
          <w:szCs w:val="23"/>
        </w:rPr>
        <w:t>€ 5.850.000,00</w:t>
      </w:r>
      <w:r w:rsidRPr="00B91125">
        <w:rPr>
          <w:sz w:val="23"/>
          <w:szCs w:val="23"/>
        </w:rPr>
        <w:t>.</w:t>
      </w:r>
    </w:p>
    <w:p w14:paraId="0261FCC4" w14:textId="77777777" w:rsidR="00D47892" w:rsidRPr="00B91125" w:rsidRDefault="00D47892" w:rsidP="00D47892">
      <w:pPr>
        <w:spacing w:after="120"/>
        <w:jc w:val="both"/>
        <w:rPr>
          <w:sz w:val="23"/>
          <w:szCs w:val="23"/>
        </w:rPr>
      </w:pPr>
      <w:r w:rsidRPr="00B91125">
        <w:rPr>
          <w:sz w:val="23"/>
          <w:szCs w:val="23"/>
        </w:rPr>
        <w:t>Al termine dell’esposizione del Direttore, il Presidente propone al Consiglio di approvare i</w:t>
      </w:r>
      <w:r>
        <w:rPr>
          <w:sz w:val="23"/>
          <w:szCs w:val="23"/>
        </w:rPr>
        <w:t>l</w:t>
      </w:r>
      <w:r w:rsidRPr="00B91125">
        <w:rPr>
          <w:sz w:val="23"/>
          <w:szCs w:val="23"/>
        </w:rPr>
        <w:t xml:space="preserve"> band</w:t>
      </w:r>
      <w:r>
        <w:rPr>
          <w:sz w:val="23"/>
          <w:szCs w:val="23"/>
        </w:rPr>
        <w:t>o</w:t>
      </w:r>
      <w:r w:rsidRPr="00B91125">
        <w:rPr>
          <w:sz w:val="23"/>
          <w:szCs w:val="23"/>
        </w:rPr>
        <w:t xml:space="preserve"> e tutta la documentazione allegata e di indire la gara d’appalto demandando la nomina della commissione preposta all’espletamento della gara ad una successiva seduta.</w:t>
      </w:r>
    </w:p>
    <w:p w14:paraId="042AAAAC" w14:textId="77777777" w:rsidR="00D47892" w:rsidRPr="00DB7411" w:rsidRDefault="00D47892" w:rsidP="00D47892">
      <w:pPr>
        <w:spacing w:after="120"/>
        <w:jc w:val="both"/>
        <w:rPr>
          <w:sz w:val="23"/>
          <w:szCs w:val="23"/>
        </w:rPr>
      </w:pPr>
      <w:r w:rsidRPr="00DB7411">
        <w:rPr>
          <w:sz w:val="23"/>
          <w:szCs w:val="23"/>
        </w:rPr>
        <w:t>Dopo ampia ed approfondita discussione, il Consiglio di Amministrazione, all’unanimità, delibera:</w:t>
      </w:r>
    </w:p>
    <w:p w14:paraId="73E23631" w14:textId="77777777" w:rsidR="00D47892" w:rsidRPr="00DB7411" w:rsidRDefault="00D47892" w:rsidP="00D47892">
      <w:pPr>
        <w:numPr>
          <w:ilvl w:val="0"/>
          <w:numId w:val="2"/>
        </w:numPr>
        <w:spacing w:after="120"/>
        <w:ind w:left="284" w:hanging="284"/>
        <w:jc w:val="both"/>
        <w:rPr>
          <w:rFonts w:eastAsia="Calibri"/>
          <w:bCs/>
          <w:sz w:val="23"/>
          <w:szCs w:val="23"/>
          <w:lang w:eastAsia="en-US"/>
        </w:rPr>
      </w:pPr>
      <w:r w:rsidRPr="00DB7411">
        <w:rPr>
          <w:rFonts w:eastAsia="Calibri"/>
          <w:bCs/>
          <w:sz w:val="23"/>
          <w:szCs w:val="23"/>
          <w:lang w:eastAsia="en-US"/>
        </w:rPr>
        <w:t xml:space="preserve">Di procedere all’indizione della gara per l’affidamento di incarichi per la progettazione di fattibilità tecnica ed economica, definitiva, direzione lavori, coordinamento della sicurezza e servizi tecnici connessi relativi all’intervento di realizzazione </w:t>
      </w:r>
      <w:r w:rsidRPr="005063B8">
        <w:rPr>
          <w:rFonts w:eastAsia="Calibri"/>
          <w:bCs/>
          <w:sz w:val="23"/>
          <w:szCs w:val="23"/>
          <w:lang w:eastAsia="en-US"/>
        </w:rPr>
        <w:t>“Ampliamento della piattaforma di valorizzazione di Tortona con realizzazione di nuova linea automatizzata di separazione degli imballaggi in plastica acciaio e alluminio”</w:t>
      </w:r>
      <w:r w:rsidRPr="00DB7411">
        <w:rPr>
          <w:rFonts w:eastAsia="Calibri"/>
          <w:bCs/>
          <w:sz w:val="23"/>
          <w:szCs w:val="23"/>
          <w:lang w:eastAsia="en-US"/>
        </w:rPr>
        <w:t xml:space="preserve"> mediante la procedura aperta ai sensi degli art</w:t>
      </w:r>
      <w:r>
        <w:rPr>
          <w:rFonts w:eastAsia="Calibri"/>
          <w:bCs/>
          <w:sz w:val="23"/>
          <w:szCs w:val="23"/>
          <w:lang w:eastAsia="en-US"/>
        </w:rPr>
        <w:t>t</w:t>
      </w:r>
      <w:r w:rsidRPr="00DB7411">
        <w:rPr>
          <w:rFonts w:eastAsia="Calibri"/>
          <w:bCs/>
          <w:sz w:val="23"/>
          <w:szCs w:val="23"/>
          <w:lang w:eastAsia="en-US"/>
        </w:rPr>
        <w:t xml:space="preserve">. </w:t>
      </w:r>
      <w:r>
        <w:rPr>
          <w:rFonts w:eastAsia="Calibri"/>
          <w:bCs/>
          <w:sz w:val="23"/>
          <w:szCs w:val="23"/>
          <w:lang w:eastAsia="en-US"/>
        </w:rPr>
        <w:t xml:space="preserve">59, </w:t>
      </w:r>
      <w:r w:rsidRPr="00DB7411">
        <w:rPr>
          <w:rFonts w:eastAsia="Calibri"/>
          <w:bCs/>
          <w:sz w:val="23"/>
          <w:szCs w:val="23"/>
          <w:lang w:eastAsia="en-US"/>
        </w:rPr>
        <w:t>60 e 157</w:t>
      </w:r>
      <w:r>
        <w:rPr>
          <w:rFonts w:eastAsia="Calibri"/>
          <w:bCs/>
          <w:sz w:val="23"/>
          <w:szCs w:val="23"/>
          <w:lang w:eastAsia="en-US"/>
        </w:rPr>
        <w:t xml:space="preserve"> </w:t>
      </w:r>
      <w:r w:rsidRPr="00DB7411">
        <w:rPr>
          <w:rFonts w:eastAsia="Calibri"/>
          <w:bCs/>
          <w:sz w:val="23"/>
          <w:szCs w:val="23"/>
          <w:lang w:eastAsia="en-US"/>
        </w:rPr>
        <w:t>del decreto legislativo n. 50 del 2016, con il criterio dell’offerta economicamente più vantaggiosa, individuata sulla base del miglior rapporto qualità/prezzo.</w:t>
      </w:r>
    </w:p>
    <w:p w14:paraId="4845DEFE" w14:textId="77777777" w:rsidR="00D47892" w:rsidRPr="00DB7411" w:rsidRDefault="00D47892" w:rsidP="00D47892">
      <w:pPr>
        <w:numPr>
          <w:ilvl w:val="0"/>
          <w:numId w:val="2"/>
        </w:numPr>
        <w:spacing w:after="120"/>
        <w:ind w:left="284" w:hanging="284"/>
        <w:jc w:val="both"/>
        <w:rPr>
          <w:rFonts w:eastAsia="Calibri"/>
          <w:bCs/>
          <w:sz w:val="23"/>
          <w:szCs w:val="23"/>
          <w:lang w:eastAsia="en-US"/>
        </w:rPr>
      </w:pPr>
      <w:r w:rsidRPr="00DB7411">
        <w:rPr>
          <w:rFonts w:eastAsia="Calibri"/>
          <w:bCs/>
          <w:sz w:val="23"/>
          <w:szCs w:val="23"/>
          <w:lang w:eastAsia="en-US"/>
        </w:rPr>
        <w:t>Di approvare il bando di gara per l’affidamento, mediante procedura aperta, di servizi tecnici di ingegneria e architettura nonché la documentazione ad esso allegata (documenti preliminari alla progettazione, disciplinare di gara, modelli di dichiarazioni, contratto disciplinare di incarico).</w:t>
      </w:r>
    </w:p>
    <w:p w14:paraId="3B8881E0" w14:textId="77777777" w:rsidR="00D47892" w:rsidRPr="00DB7411" w:rsidRDefault="00D47892" w:rsidP="00D47892">
      <w:pPr>
        <w:numPr>
          <w:ilvl w:val="0"/>
          <w:numId w:val="2"/>
        </w:numPr>
        <w:spacing w:after="120"/>
        <w:ind w:left="284" w:hanging="284"/>
        <w:jc w:val="both"/>
        <w:rPr>
          <w:rFonts w:eastAsia="Calibri"/>
          <w:bCs/>
          <w:sz w:val="23"/>
          <w:szCs w:val="23"/>
          <w:lang w:eastAsia="en-US"/>
        </w:rPr>
      </w:pPr>
      <w:r w:rsidRPr="00DB7411">
        <w:rPr>
          <w:rFonts w:eastAsia="Calibri"/>
          <w:bCs/>
          <w:sz w:val="23"/>
          <w:szCs w:val="23"/>
          <w:lang w:eastAsia="en-US"/>
        </w:rPr>
        <w:t>Di disporre la pubblicazione del bando di gara e del relativo estratto secondo quanto previsto dalle norme.</w:t>
      </w:r>
    </w:p>
    <w:p w14:paraId="7EEB52C7" w14:textId="77777777" w:rsidR="00D47892" w:rsidRPr="00DB7411" w:rsidRDefault="00D47892" w:rsidP="00D47892">
      <w:pPr>
        <w:numPr>
          <w:ilvl w:val="0"/>
          <w:numId w:val="2"/>
        </w:numPr>
        <w:spacing w:after="120"/>
        <w:ind w:left="284" w:hanging="284"/>
        <w:jc w:val="both"/>
        <w:rPr>
          <w:rFonts w:eastAsia="Calibri"/>
          <w:bCs/>
          <w:sz w:val="23"/>
          <w:szCs w:val="23"/>
          <w:lang w:eastAsia="en-US"/>
        </w:rPr>
      </w:pPr>
      <w:r w:rsidRPr="00DB7411">
        <w:rPr>
          <w:rFonts w:eastAsia="Calibri"/>
          <w:bCs/>
          <w:sz w:val="23"/>
          <w:szCs w:val="23"/>
          <w:lang w:eastAsia="en-US"/>
        </w:rPr>
        <w:t>Di confermare ampio mandato al Presidente e al Direttore a compiere tutti gli atti inerenti e conseguenti all’esecuzione ed al buon esito della presente deliberazione.</w:t>
      </w:r>
    </w:p>
    <w:p w14:paraId="4CCFB0BB" w14:textId="3B6B0201" w:rsidR="001E3324" w:rsidRPr="00EF68F1" w:rsidRDefault="00D47892" w:rsidP="00EF68F1">
      <w:pPr>
        <w:numPr>
          <w:ilvl w:val="0"/>
          <w:numId w:val="2"/>
        </w:numPr>
        <w:spacing w:after="120"/>
        <w:ind w:left="284" w:hanging="284"/>
        <w:jc w:val="both"/>
        <w:rPr>
          <w:rFonts w:eastAsia="Calibri"/>
          <w:bCs/>
          <w:sz w:val="23"/>
          <w:szCs w:val="23"/>
          <w:lang w:eastAsia="en-US"/>
        </w:rPr>
      </w:pPr>
      <w:r w:rsidRPr="00DB7411">
        <w:rPr>
          <w:rFonts w:eastAsia="Calibri"/>
          <w:bCs/>
          <w:sz w:val="23"/>
          <w:szCs w:val="23"/>
          <w:lang w:eastAsia="en-US"/>
        </w:rPr>
        <w:t>Di demandare la nomina della relativa Commissione di gara ad una prossima seduta del Consiglio.</w:t>
      </w:r>
    </w:p>
    <w:sectPr w:rsidR="001E3324" w:rsidRPr="00EF68F1" w:rsidSect="00D47892">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481"/>
    <w:multiLevelType w:val="hybridMultilevel"/>
    <w:tmpl w:val="25F6D6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C8E0C0A"/>
    <w:multiLevelType w:val="hybridMultilevel"/>
    <w:tmpl w:val="0C0A22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8992784">
    <w:abstractNumId w:val="0"/>
  </w:num>
  <w:num w:numId="2" w16cid:durableId="120298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92"/>
    <w:rsid w:val="001E3324"/>
    <w:rsid w:val="00D47892"/>
    <w:rsid w:val="00E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A21D"/>
  <w15:chartTrackingRefBased/>
  <w15:docId w15:val="{C2C65308-8CBA-45E3-A1D5-05F757DC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892"/>
    <w:pPr>
      <w:spacing w:after="0" w:line="240" w:lineRule="auto"/>
    </w:pPr>
    <w:rPr>
      <w:rFonts w:ascii="Times New Roman" w:hAnsi="Times New Roman" w:cs="Times New Roman"/>
      <w:sz w:val="24"/>
      <w:szCs w:val="24"/>
      <w:lang w:eastAsia="it-IT"/>
    </w:rPr>
  </w:style>
  <w:style w:type="paragraph" w:styleId="Titolo5">
    <w:name w:val="heading 5"/>
    <w:basedOn w:val="Normale"/>
    <w:next w:val="Normale"/>
    <w:link w:val="Titolo5Carattere"/>
    <w:unhideWhenUsed/>
    <w:qFormat/>
    <w:rsid w:val="00D47892"/>
    <w:pPr>
      <w:keepNext/>
      <w:ind w:left="357" w:hanging="357"/>
      <w:jc w:val="center"/>
      <w:outlineLvl w:val="4"/>
    </w:pPr>
    <w:rPr>
      <w:rFonts w:eastAsia="Times New Roman"/>
      <w:b/>
      <w:iCs/>
      <w:sz w:val="23"/>
      <w:szCs w:val="20"/>
      <w:u w:val="single"/>
    </w:rPr>
  </w:style>
  <w:style w:type="paragraph" w:styleId="Titolo6">
    <w:name w:val="heading 6"/>
    <w:basedOn w:val="Normale"/>
    <w:next w:val="Normale"/>
    <w:link w:val="Titolo6Carattere"/>
    <w:unhideWhenUsed/>
    <w:qFormat/>
    <w:rsid w:val="00D47892"/>
    <w:pPr>
      <w:keepNext/>
      <w:ind w:left="357" w:hanging="357"/>
      <w:jc w:val="center"/>
      <w:outlineLvl w:val="5"/>
    </w:pPr>
    <w:rPr>
      <w:rFonts w:eastAsia="Times New Roman"/>
      <w:b/>
      <w:iCs/>
      <w:sz w:val="23"/>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D47892"/>
    <w:rPr>
      <w:rFonts w:ascii="Times New Roman" w:eastAsia="Times New Roman" w:hAnsi="Times New Roman" w:cs="Times New Roman"/>
      <w:b/>
      <w:iCs/>
      <w:sz w:val="23"/>
      <w:szCs w:val="20"/>
      <w:u w:val="single"/>
      <w:lang w:eastAsia="it-IT"/>
    </w:rPr>
  </w:style>
  <w:style w:type="character" w:customStyle="1" w:styleId="Titolo6Carattere">
    <w:name w:val="Titolo 6 Carattere"/>
    <w:basedOn w:val="Carpredefinitoparagrafo"/>
    <w:link w:val="Titolo6"/>
    <w:rsid w:val="00D47892"/>
    <w:rPr>
      <w:rFonts w:ascii="Times New Roman" w:eastAsia="Times New Roman" w:hAnsi="Times New Roman" w:cs="Times New Roman"/>
      <w:b/>
      <w:iCs/>
      <w:sz w:val="23"/>
      <w:szCs w:val="20"/>
      <w:lang w:eastAsia="it-IT"/>
    </w:rPr>
  </w:style>
  <w:style w:type="character" w:customStyle="1" w:styleId="ParagrafoelencoCarattere">
    <w:name w:val="Paragrafo elenco Carattere"/>
    <w:link w:val="Paragrafoelenco"/>
    <w:uiPriority w:val="34"/>
    <w:locked/>
    <w:rsid w:val="00D47892"/>
    <w:rPr>
      <w:rFonts w:ascii="Times New Roman" w:eastAsia="Calibri" w:hAnsi="Times New Roman" w:cs="Times New Roman"/>
      <w:bCs/>
      <w:sz w:val="23"/>
      <w:szCs w:val="23"/>
    </w:rPr>
  </w:style>
  <w:style w:type="paragraph" w:styleId="Paragrafoelenco">
    <w:name w:val="List Paragraph"/>
    <w:basedOn w:val="Normale"/>
    <w:link w:val="ParagrafoelencoCarattere"/>
    <w:uiPriority w:val="34"/>
    <w:qFormat/>
    <w:rsid w:val="00D47892"/>
    <w:pPr>
      <w:spacing w:after="200" w:line="276" w:lineRule="auto"/>
      <w:contextualSpacing/>
      <w:jc w:val="both"/>
    </w:pPr>
    <w:rPr>
      <w:rFonts w:eastAsia="Calibri"/>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Massone</dc:creator>
  <cp:keywords/>
  <dc:description/>
  <cp:lastModifiedBy>Valeria Massone</cp:lastModifiedBy>
  <cp:revision>2</cp:revision>
  <cp:lastPrinted>2022-05-11T14:48:00Z</cp:lastPrinted>
  <dcterms:created xsi:type="dcterms:W3CDTF">2022-04-04T10:01:00Z</dcterms:created>
  <dcterms:modified xsi:type="dcterms:W3CDTF">2022-05-11T14:48:00Z</dcterms:modified>
</cp:coreProperties>
</file>